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0D" w:rsidRPr="00411A9F" w:rsidRDefault="005F3C0D" w:rsidP="00E42A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C6717" w:rsidRPr="00411A9F" w:rsidRDefault="005F3C0D" w:rsidP="002D6185">
      <w:pPr>
        <w:pStyle w:val="Nagwek1"/>
        <w:spacing w:before="0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ab/>
      </w:r>
      <w:r w:rsidR="00E42AE2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Wykaz wprowadzanych zmian</w:t>
      </w:r>
      <w:r w:rsidR="00507933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w </w:t>
      </w:r>
      <w:r w:rsidR="0032047E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Lokalnej Strategii Rozwoju „Kraina Wielkiego Łuk</w:t>
      </w:r>
      <w:r w:rsidR="00415807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u Warty” stanowiącej załącznik </w:t>
      </w:r>
      <w:r w:rsidR="00507933" w:rsidRPr="00411A9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nr 1 do Umowy o warunkach i sposobie realizacji strategii rozwoju lokalnego kierowanego przez społeczność nr 00017-6933-UM0510006/15 z dnia 17 maja 2016r.</w:t>
      </w:r>
    </w:p>
    <w:p w:rsidR="002D6185" w:rsidRPr="00411A9F" w:rsidRDefault="002D6185" w:rsidP="002D6185"/>
    <w:p w:rsidR="0076370A" w:rsidRPr="00411A9F" w:rsidRDefault="009055AF" w:rsidP="0076370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  <w:color w:val="000000" w:themeColor="text1"/>
        </w:rPr>
        <w:t>W</w:t>
      </w:r>
      <w:r w:rsidR="0076370A" w:rsidRPr="00411A9F">
        <w:rPr>
          <w:rFonts w:ascii="Times New Roman" w:hAnsi="Times New Roman" w:cs="Times New Roman"/>
          <w:color w:val="000000" w:themeColor="text1"/>
        </w:rPr>
        <w:t xml:space="preserve"> rozdziale I Charakterystyka LGD</w:t>
      </w:r>
      <w:bookmarkStart w:id="0" w:name="_Toc439071779"/>
      <w:r w:rsidR="0076370A" w:rsidRPr="00411A9F">
        <w:rPr>
          <w:rFonts w:ascii="Times New Roman" w:hAnsi="Times New Roman" w:cs="Times New Roman"/>
          <w:color w:val="000000" w:themeColor="text1"/>
        </w:rPr>
        <w:t xml:space="preserve"> </w:t>
      </w:r>
      <w:r w:rsidR="0076370A" w:rsidRPr="00411A9F">
        <w:rPr>
          <w:rFonts w:ascii="Times New Roman" w:hAnsi="Times New Roman" w:cs="Times New Roman"/>
        </w:rPr>
        <w:t>3.3 Poziom decyzyjny – rada</w:t>
      </w:r>
      <w:bookmarkEnd w:id="0"/>
      <w:r w:rsidR="0076370A" w:rsidRPr="00411A9F">
        <w:rPr>
          <w:rFonts w:ascii="Times New Roman" w:hAnsi="Times New Roman" w:cs="Times New Roman"/>
        </w:rPr>
        <w:t>, w zadaniu:</w:t>
      </w:r>
    </w:p>
    <w:p w:rsidR="0076370A" w:rsidRPr="00411A9F" w:rsidRDefault="0076370A" w:rsidP="0076370A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76370A" w:rsidRPr="00411A9F" w:rsidRDefault="0076370A" w:rsidP="0076370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11A9F">
        <w:rPr>
          <w:rFonts w:ascii="Times New Roman" w:eastAsia="Times New Roman" w:hAnsi="Times New Roman" w:cs="Times New Roman"/>
          <w:lang w:eastAsia="pl-PL"/>
        </w:rPr>
        <w:t>„</w:t>
      </w:r>
      <w:r w:rsidR="00084C97" w:rsidRPr="00411A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1A9F">
        <w:rPr>
          <w:rFonts w:ascii="Times New Roman" w:hAnsi="Times New Roman" w:cs="Times New Roman"/>
          <w:color w:val="000000" w:themeColor="text1"/>
        </w:rPr>
        <w:t xml:space="preserve">Protest jest wnoszony w terminie 7 dni od dnia doręczenia informacji o wyniku oceny jego projektu, </w:t>
      </w:r>
      <w:r w:rsidRPr="00411A9F">
        <w:rPr>
          <w:rFonts w:ascii="Times New Roman" w:hAnsi="Times New Roman" w:cs="Times New Roman"/>
        </w:rPr>
        <w:t xml:space="preserve">a w przypadku grantów w terminie 5 dni od dnia doręczenia informacji o wyniku oceny.” </w:t>
      </w:r>
    </w:p>
    <w:p w:rsidR="0076370A" w:rsidRPr="00411A9F" w:rsidRDefault="0076370A" w:rsidP="00904D0D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</w:rPr>
        <w:t>Skreśla się treść po przecinku, natomiast  zdanie przyjmuje  nowe brzmienie:</w:t>
      </w:r>
    </w:p>
    <w:p w:rsidR="0076370A" w:rsidRPr="00411A9F" w:rsidRDefault="0076370A" w:rsidP="0076370A">
      <w:pPr>
        <w:pStyle w:val="Akapitzlist"/>
        <w:spacing w:after="0"/>
        <w:rPr>
          <w:rFonts w:ascii="Times New Roman" w:hAnsi="Times New Roman" w:cs="Times New Roman"/>
          <w:color w:val="000000" w:themeColor="text1"/>
        </w:rPr>
      </w:pPr>
      <w:r w:rsidRPr="00411A9F">
        <w:rPr>
          <w:rFonts w:ascii="Times New Roman" w:hAnsi="Times New Roman" w:cs="Times New Roman"/>
          <w:color w:val="000000" w:themeColor="text1"/>
        </w:rPr>
        <w:t>„Protest jest wnoszony w terminie 7 dni od dnia doręczenia informacji o wyniku oceny jego projektu”</w:t>
      </w:r>
      <w:r w:rsidR="00904D0D" w:rsidRPr="00411A9F">
        <w:rPr>
          <w:rFonts w:ascii="Times New Roman" w:hAnsi="Times New Roman" w:cs="Times New Roman"/>
          <w:color w:val="000000" w:themeColor="text1"/>
        </w:rPr>
        <w:t>;</w:t>
      </w:r>
    </w:p>
    <w:p w:rsidR="003C5711" w:rsidRPr="00411A9F" w:rsidRDefault="003C5711" w:rsidP="003C571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11A9F">
        <w:rPr>
          <w:rFonts w:ascii="Times New Roman" w:hAnsi="Times New Roman" w:cs="Times New Roman"/>
          <w:color w:val="000000" w:themeColor="text1"/>
        </w:rPr>
        <w:t>W rozdziale I</w:t>
      </w:r>
      <w:r w:rsidR="0041226E" w:rsidRPr="00411A9F">
        <w:rPr>
          <w:rFonts w:ascii="Times New Roman" w:hAnsi="Times New Roman" w:cs="Times New Roman"/>
          <w:color w:val="000000" w:themeColor="text1"/>
        </w:rPr>
        <w:t>II Diagnoza – 1.Opis obszaru, w</w:t>
      </w:r>
      <w:r w:rsidRPr="00411A9F">
        <w:rPr>
          <w:rFonts w:ascii="Times New Roman" w:hAnsi="Times New Roman" w:cs="Times New Roman"/>
          <w:color w:val="000000" w:themeColor="text1"/>
        </w:rPr>
        <w:t xml:space="preserve"> zdaniu:</w:t>
      </w:r>
    </w:p>
    <w:p w:rsidR="003C5711" w:rsidRPr="00411A9F" w:rsidRDefault="003C5711" w:rsidP="003C5711">
      <w:pPr>
        <w:pStyle w:val="Akapitzlist"/>
        <w:spacing w:after="0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  <w:color w:val="000000" w:themeColor="text1"/>
        </w:rPr>
        <w:t>„</w:t>
      </w:r>
      <w:r w:rsidR="00CE24AF" w:rsidRPr="00411A9F">
        <w:rPr>
          <w:rFonts w:ascii="Times New Roman" w:hAnsi="Times New Roman" w:cs="Times New Roman"/>
          <w:bCs/>
          <w:color w:val="000000" w:themeColor="text1"/>
        </w:rPr>
        <w:t xml:space="preserve"> Stowarzyszenia kultywują dawne tradycje ludowe poprzez organizowanie dożynek, darcia pierza, kiszenia kapusty i zapustów.</w:t>
      </w:r>
      <w:r w:rsidRPr="00411A9F">
        <w:rPr>
          <w:rFonts w:ascii="Times New Roman" w:hAnsi="Times New Roman" w:cs="Times New Roman"/>
        </w:rPr>
        <w:t>”</w:t>
      </w:r>
    </w:p>
    <w:p w:rsidR="00CE24AF" w:rsidRPr="00411A9F" w:rsidRDefault="0041226E" w:rsidP="003C5711">
      <w:pPr>
        <w:pStyle w:val="Akapitzlist"/>
        <w:spacing w:after="0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</w:rPr>
        <w:t>Skreśla się  „</w:t>
      </w:r>
      <w:r w:rsidR="00411A9F" w:rsidRPr="00411A9F">
        <w:rPr>
          <w:rFonts w:ascii="Times New Roman" w:hAnsi="Times New Roman" w:cs="Times New Roman"/>
        </w:rPr>
        <w:t xml:space="preserve"> kropk</w:t>
      </w:r>
      <w:r w:rsidRPr="00411A9F">
        <w:rPr>
          <w:rFonts w:ascii="Times New Roman" w:hAnsi="Times New Roman" w:cs="Times New Roman"/>
        </w:rPr>
        <w:t>ę” oraz d</w:t>
      </w:r>
      <w:r w:rsidR="00CE24AF" w:rsidRPr="00411A9F">
        <w:rPr>
          <w:rFonts w:ascii="Times New Roman" w:hAnsi="Times New Roman" w:cs="Times New Roman"/>
        </w:rPr>
        <w:t xml:space="preserve">odaje </w:t>
      </w:r>
      <w:r w:rsidRPr="00411A9F">
        <w:rPr>
          <w:rFonts w:ascii="Times New Roman" w:hAnsi="Times New Roman" w:cs="Times New Roman"/>
        </w:rPr>
        <w:t>się nową treść</w:t>
      </w:r>
      <w:r w:rsidR="00CE24AF" w:rsidRPr="00411A9F">
        <w:rPr>
          <w:rFonts w:ascii="Times New Roman" w:hAnsi="Times New Roman" w:cs="Times New Roman"/>
        </w:rPr>
        <w:t>:</w:t>
      </w:r>
    </w:p>
    <w:p w:rsidR="003C5711" w:rsidRPr="00411A9F" w:rsidRDefault="0041226E" w:rsidP="00411A9F">
      <w:pPr>
        <w:pStyle w:val="Akapitzlist"/>
        <w:spacing w:after="0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</w:rPr>
        <w:t>„</w:t>
      </w:r>
      <w:r w:rsidRPr="00411A9F">
        <w:rPr>
          <w:rFonts w:ascii="Times New Roman" w:hAnsi="Times New Roman" w:cs="Times New Roman"/>
          <w:bCs/>
          <w:color w:val="000000" w:themeColor="text1"/>
        </w:rPr>
        <w:t>Stowarzyszenia kultywują dawne tradycje ludowe poprzez organizowanie dożynek, darcia pierza, kiszenia kapusty i zapustów oraz promują „zagłębie chrzanowe” podczas organizowanego przy współudziale LGD Wojewódzkiego Święta Chrzanu. Pod koniec lat 90-tych obchodzone były Krajowe Święta Chrzanu w Kiełczygłowie, Siemkowicach, natomiast od 2011r. święto przywrócono, nadając mu rangę Wojewódzkiego Święta Chrzanu  zorganizowanego w Osjakowie. Poprzez współorganizację kolejnych edycji Święta chrzanu zamierzamy stworzyć spójny wizerunek Zagłębia Chrzanowego jako „marki” regionu integrując społeczność lokalną i wyróżniając obszar środkowej Warty  przy uprawie chrzanu na tle kraju.</w:t>
      </w:r>
      <w:bookmarkStart w:id="1" w:name="_GoBack"/>
      <w:bookmarkEnd w:id="1"/>
    </w:p>
    <w:p w:rsidR="00904D0D" w:rsidRPr="00411A9F" w:rsidRDefault="00904D0D" w:rsidP="0076370A">
      <w:pPr>
        <w:pStyle w:val="Akapitzlist"/>
        <w:spacing w:after="0"/>
        <w:rPr>
          <w:rFonts w:ascii="Times New Roman" w:hAnsi="Times New Roman" w:cs="Times New Roman"/>
          <w:color w:val="000000" w:themeColor="text1"/>
        </w:rPr>
      </w:pPr>
    </w:p>
    <w:p w:rsidR="009055AF" w:rsidRPr="00411A9F" w:rsidRDefault="009055AF" w:rsidP="009055A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11A9F">
        <w:rPr>
          <w:rFonts w:ascii="Times New Roman" w:hAnsi="Times New Roman" w:cs="Times New Roman"/>
          <w:color w:val="000000" w:themeColor="text1"/>
        </w:rPr>
        <w:t xml:space="preserve">W tabeli </w:t>
      </w:r>
      <w:r w:rsidRPr="00411A9F">
        <w:rPr>
          <w:rFonts w:ascii="Times New Roman" w:hAnsi="Times New Roman" w:cs="Times New Roman"/>
          <w:b/>
          <w:bCs/>
        </w:rPr>
        <w:t xml:space="preserve">Matryca logiczna powiązań diagnozy obszaru i ludności, analizy SWOT oraz celów i wskaźników </w:t>
      </w:r>
      <w:r w:rsidR="002F30B4" w:rsidRPr="00411A9F">
        <w:rPr>
          <w:rFonts w:ascii="Times New Roman" w:hAnsi="Times New Roman" w:cs="Times New Roman"/>
          <w:b/>
          <w:bCs/>
        </w:rPr>
        <w:t xml:space="preserve"> </w:t>
      </w:r>
      <w:r w:rsidR="002F30B4" w:rsidRPr="00411A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</w:t>
      </w:r>
      <w:r w:rsidR="002F30B4" w:rsidRPr="00411A9F">
        <w:rPr>
          <w:rFonts w:ascii="Times New Roman" w:hAnsi="Times New Roman" w:cs="Times New Roman"/>
        </w:rPr>
        <w:t xml:space="preserve">Kolumnie Grupy docelowe </w:t>
      </w:r>
      <w:r w:rsidRPr="00411A9F">
        <w:rPr>
          <w:rFonts w:ascii="Times New Roman" w:hAnsi="Times New Roman" w:cs="Times New Roman"/>
        </w:rPr>
        <w:t>dla przedsięwzięcia:</w:t>
      </w:r>
    </w:p>
    <w:p w:rsidR="009055AF" w:rsidRPr="00411A9F" w:rsidRDefault="009055AF" w:rsidP="009055AF">
      <w:pPr>
        <w:pStyle w:val="Akapitzlist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  <w:color w:val="000000"/>
        </w:rPr>
        <w:t xml:space="preserve">Budowa, przebudowa, remont i uatrakcyjnienie obiektów infrastruktury  lokalnej w tym małej architektury, ścieżek rekreacyjnych </w:t>
      </w:r>
      <w:r w:rsidRPr="00411A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i operacji ukierunkowanych na innowacje </w:t>
      </w:r>
      <w:r w:rsidR="002F30B4" w:rsidRPr="00411A9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- </w:t>
      </w:r>
      <w:r w:rsidRPr="00411A9F">
        <w:rPr>
          <w:rFonts w:ascii="Times New Roman" w:hAnsi="Times New Roman" w:cs="Times New Roman"/>
        </w:rPr>
        <w:t>skreśla się:  „ z wyłączeniem”</w:t>
      </w:r>
      <w:r w:rsidR="002F30B4" w:rsidRPr="00411A9F">
        <w:rPr>
          <w:rFonts w:ascii="Times New Roman" w:hAnsi="Times New Roman" w:cs="Times New Roman"/>
        </w:rPr>
        <w:t>;</w:t>
      </w:r>
    </w:p>
    <w:p w:rsidR="009055AF" w:rsidRPr="00411A9F" w:rsidRDefault="009055AF" w:rsidP="002F30B4">
      <w:pPr>
        <w:pStyle w:val="Akapitzlist"/>
        <w:numPr>
          <w:ilvl w:val="2"/>
          <w:numId w:val="6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11A9F">
        <w:rPr>
          <w:rFonts w:ascii="Times New Roman" w:hAnsi="Times New Roman" w:cs="Times New Roman"/>
          <w:color w:val="000000" w:themeColor="text1"/>
        </w:rPr>
        <w:t>Wsparcie i prezentacje zespołów ludowych, orkiestr dętych oraz stowarz</w:t>
      </w:r>
      <w:r w:rsidR="002F30B4" w:rsidRPr="00411A9F">
        <w:rPr>
          <w:rFonts w:ascii="Times New Roman" w:hAnsi="Times New Roman" w:cs="Times New Roman"/>
          <w:color w:val="000000" w:themeColor="text1"/>
        </w:rPr>
        <w:t xml:space="preserve">yszeń </w:t>
      </w:r>
      <w:r w:rsidR="00904D0D" w:rsidRPr="00411A9F">
        <w:rPr>
          <w:rFonts w:ascii="Times New Roman" w:hAnsi="Times New Roman" w:cs="Times New Roman"/>
          <w:color w:val="000000" w:themeColor="text1"/>
        </w:rPr>
        <w:t xml:space="preserve">–dodaje się przecinek </w:t>
      </w:r>
      <w:r w:rsidR="002F30B4" w:rsidRPr="00411A9F">
        <w:rPr>
          <w:rFonts w:ascii="Times New Roman" w:hAnsi="Times New Roman" w:cs="Times New Roman"/>
          <w:color w:val="000000" w:themeColor="text1"/>
        </w:rPr>
        <w:t>dopisuje się „</w:t>
      </w:r>
      <w:proofErr w:type="spellStart"/>
      <w:r w:rsidR="002F30B4" w:rsidRPr="00411A9F">
        <w:rPr>
          <w:rFonts w:ascii="Times New Roman" w:hAnsi="Times New Roman" w:cs="Times New Roman"/>
          <w:color w:val="000000" w:themeColor="text1"/>
        </w:rPr>
        <w:t>jst</w:t>
      </w:r>
      <w:proofErr w:type="spellEnd"/>
      <w:r w:rsidR="002F30B4" w:rsidRPr="00411A9F">
        <w:rPr>
          <w:rFonts w:ascii="Times New Roman" w:hAnsi="Times New Roman" w:cs="Times New Roman"/>
          <w:color w:val="000000" w:themeColor="text1"/>
        </w:rPr>
        <w:t>”;</w:t>
      </w:r>
    </w:p>
    <w:p w:rsidR="002F30B4" w:rsidRPr="00411A9F" w:rsidRDefault="002F30B4" w:rsidP="002F30B4">
      <w:pPr>
        <w:pStyle w:val="Akapitzlist"/>
        <w:numPr>
          <w:ilvl w:val="2"/>
          <w:numId w:val="6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411A9F">
        <w:rPr>
          <w:rFonts w:ascii="Times New Roman" w:hAnsi="Times New Roman" w:cs="Times New Roman"/>
        </w:rPr>
        <w:t>Imprezy kulturalne, rekreacyjne i sportowe promujące Krainę Wielkiego Łuku Warty -</w:t>
      </w:r>
      <w:r w:rsidR="00904D0D" w:rsidRPr="00411A9F">
        <w:rPr>
          <w:rFonts w:ascii="Times New Roman" w:hAnsi="Times New Roman" w:cs="Times New Roman"/>
          <w:color w:val="000000" w:themeColor="text1"/>
        </w:rPr>
        <w:t xml:space="preserve"> dodaje się przecinek i </w:t>
      </w:r>
      <w:r w:rsidRPr="00411A9F">
        <w:rPr>
          <w:rFonts w:ascii="Times New Roman" w:hAnsi="Times New Roman" w:cs="Times New Roman"/>
          <w:color w:val="000000" w:themeColor="text1"/>
        </w:rPr>
        <w:t>dopisuje się „</w:t>
      </w:r>
      <w:proofErr w:type="spellStart"/>
      <w:r w:rsidRPr="00411A9F">
        <w:rPr>
          <w:rFonts w:ascii="Times New Roman" w:hAnsi="Times New Roman" w:cs="Times New Roman"/>
          <w:color w:val="000000" w:themeColor="text1"/>
        </w:rPr>
        <w:t>jst</w:t>
      </w:r>
      <w:proofErr w:type="spellEnd"/>
      <w:r w:rsidRPr="00411A9F">
        <w:rPr>
          <w:rFonts w:ascii="Times New Roman" w:hAnsi="Times New Roman" w:cs="Times New Roman"/>
          <w:color w:val="000000" w:themeColor="text1"/>
        </w:rPr>
        <w:t>”;</w:t>
      </w:r>
    </w:p>
    <w:p w:rsidR="004D7481" w:rsidRPr="00411A9F" w:rsidRDefault="004D7481" w:rsidP="004D7481">
      <w:pPr>
        <w:pStyle w:val="Nagwek2"/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11A9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W rozdziale VI Sposób wyboru i oceny operacji oraz sposób ustalania kryteriów wyboru </w:t>
      </w:r>
    </w:p>
    <w:p w:rsidR="00B43D55" w:rsidRPr="00411A9F" w:rsidRDefault="004D7481" w:rsidP="00B43D55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 w:rsidRPr="00411A9F">
        <w:rPr>
          <w:color w:val="auto"/>
          <w:sz w:val="22"/>
          <w:szCs w:val="22"/>
        </w:rPr>
        <w:t xml:space="preserve">      3. Formy wsparcia  operacji w ramach LSR</w:t>
      </w:r>
      <w:r w:rsidRPr="00411A9F">
        <w:rPr>
          <w:b/>
          <w:color w:val="auto"/>
          <w:sz w:val="22"/>
          <w:szCs w:val="22"/>
        </w:rPr>
        <w:t xml:space="preserve"> </w:t>
      </w:r>
      <w:r w:rsidR="006E4DBD" w:rsidRPr="00411A9F">
        <w:rPr>
          <w:color w:val="auto"/>
          <w:sz w:val="22"/>
          <w:szCs w:val="22"/>
        </w:rPr>
        <w:t>1</w:t>
      </w:r>
      <w:r w:rsidRPr="00411A9F">
        <w:rPr>
          <w:color w:val="auto"/>
          <w:sz w:val="22"/>
          <w:szCs w:val="22"/>
        </w:rPr>
        <w:t>)</w:t>
      </w:r>
      <w:r w:rsidR="00B43D55" w:rsidRPr="00411A9F">
        <w:rPr>
          <w:color w:val="auto"/>
          <w:sz w:val="22"/>
          <w:szCs w:val="22"/>
        </w:rPr>
        <w:t xml:space="preserve"> ostatnie zdanie: </w:t>
      </w:r>
    </w:p>
    <w:p w:rsidR="00B43D55" w:rsidRPr="00411A9F" w:rsidRDefault="00B43D55" w:rsidP="00B43D55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411A9F">
        <w:rPr>
          <w:color w:val="auto"/>
          <w:sz w:val="22"/>
          <w:szCs w:val="22"/>
        </w:rPr>
        <w:t>„</w:t>
      </w:r>
      <w:r w:rsidRPr="00411A9F">
        <w:rPr>
          <w:sz w:val="22"/>
          <w:szCs w:val="22"/>
        </w:rPr>
        <w:t xml:space="preserve">Na projekty związane z podejmowaniem działalności gospodarczej maksymalna wysokość pomocy wynosi do 100 tys. złotych oraz </w:t>
      </w:r>
      <w:r w:rsidRPr="00411A9F">
        <w:rPr>
          <w:sz w:val="22"/>
          <w:szCs w:val="22"/>
        </w:rPr>
        <w:br/>
        <w:t xml:space="preserve">w wysokości 100 % kosztów kwalifikowanych, w pozostałych przypadkach do 300 tys. złotych w formie refundacji do 70% kosztów kwalifikowanych .” </w:t>
      </w:r>
    </w:p>
    <w:p w:rsidR="00B43D55" w:rsidRPr="00411A9F" w:rsidRDefault="00B43D55" w:rsidP="00B43D55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411A9F">
        <w:rPr>
          <w:sz w:val="22"/>
          <w:szCs w:val="22"/>
        </w:rPr>
        <w:t>-przyjmuje nową treść:</w:t>
      </w:r>
    </w:p>
    <w:p w:rsidR="00B43D55" w:rsidRPr="00411A9F" w:rsidRDefault="00B43D55" w:rsidP="00B43D55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</w:p>
    <w:p w:rsidR="00B43D55" w:rsidRPr="00411A9F" w:rsidRDefault="00B43D55" w:rsidP="00B43D55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411A9F">
        <w:rPr>
          <w:color w:val="auto"/>
          <w:sz w:val="22"/>
          <w:szCs w:val="22"/>
        </w:rPr>
        <w:t>„</w:t>
      </w:r>
      <w:r w:rsidRPr="00411A9F">
        <w:rPr>
          <w:sz w:val="22"/>
          <w:szCs w:val="22"/>
        </w:rPr>
        <w:t xml:space="preserve">Na projekty związane z podejmowaniem działalności gospodarczej maksymalna wysokość pomocy wynosi 100 tys. złotych oraz w wysokości 100 % kosztów kwalifikowanych, w przypadku projektów dotyczących rozwoju działalności gospodarczej do 70% kosztów kwalifikowanych w formie refundacji zgodnie z rozporządzeniem oraz  dla projektów z </w:t>
      </w:r>
      <w:r w:rsidRPr="00411A9F">
        <w:rPr>
          <w:sz w:val="22"/>
          <w:szCs w:val="22"/>
        </w:rPr>
        <w:lastRenderedPageBreak/>
        <w:t xml:space="preserve">Zachowania dziedzictwa lokalnego do 50% kosztów kwalifikowanych w formie refundacji zgodnie z rozporządzeniem.” </w:t>
      </w:r>
    </w:p>
    <w:p w:rsidR="006E4DBD" w:rsidRPr="00411A9F" w:rsidRDefault="006E4DBD" w:rsidP="006E4DBD">
      <w:pPr>
        <w:pStyle w:val="Default"/>
        <w:spacing w:line="276" w:lineRule="auto"/>
        <w:ind w:left="360"/>
        <w:jc w:val="both"/>
        <w:rPr>
          <w:b/>
          <w:color w:val="auto"/>
          <w:sz w:val="22"/>
          <w:szCs w:val="22"/>
        </w:rPr>
      </w:pPr>
    </w:p>
    <w:p w:rsidR="004D7481" w:rsidRPr="00411A9F" w:rsidRDefault="00411A9F" w:rsidP="004D7481">
      <w:pPr>
        <w:pStyle w:val="Default"/>
        <w:spacing w:line="276" w:lineRule="auto"/>
        <w:ind w:left="360"/>
        <w:jc w:val="both"/>
        <w:rPr>
          <w:sz w:val="22"/>
          <w:szCs w:val="22"/>
        </w:rPr>
      </w:pPr>
      <w:r w:rsidRPr="00411A9F">
        <w:rPr>
          <w:sz w:val="22"/>
          <w:szCs w:val="22"/>
        </w:rPr>
        <w:t xml:space="preserve">2) </w:t>
      </w:r>
      <w:r w:rsidR="004D7481" w:rsidRPr="00411A9F">
        <w:rPr>
          <w:sz w:val="22"/>
          <w:szCs w:val="22"/>
        </w:rPr>
        <w:t>projekty grantowe</w:t>
      </w:r>
      <w:r w:rsidR="004D7481" w:rsidRPr="00411A9F">
        <w:rPr>
          <w:b/>
          <w:bCs/>
          <w:sz w:val="22"/>
          <w:szCs w:val="22"/>
        </w:rPr>
        <w:t xml:space="preserve"> </w:t>
      </w:r>
      <w:r w:rsidR="004D7481" w:rsidRPr="00411A9F">
        <w:rPr>
          <w:sz w:val="22"/>
          <w:szCs w:val="22"/>
        </w:rPr>
        <w:t>– w zdaniu</w:t>
      </w:r>
    </w:p>
    <w:p w:rsidR="004D7481" w:rsidRPr="00411A9F" w:rsidRDefault="004D7481" w:rsidP="004D7481">
      <w:pPr>
        <w:ind w:left="709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</w:rPr>
        <w:t xml:space="preserve">„Projekty grantowe skierowane są do organizacji pozarządowych w tym organizacji nie posiadających osobowości prawnej z możliwością jej użyczenia i grup </w:t>
      </w:r>
      <w:proofErr w:type="spellStart"/>
      <w:r w:rsidRPr="00411A9F">
        <w:rPr>
          <w:rFonts w:ascii="Times New Roman" w:hAnsi="Times New Roman" w:cs="Times New Roman"/>
        </w:rPr>
        <w:t>defaryzowanych</w:t>
      </w:r>
      <w:proofErr w:type="spellEnd"/>
      <w:r w:rsidRPr="00411A9F">
        <w:rPr>
          <w:rFonts w:ascii="Times New Roman" w:hAnsi="Times New Roman" w:cs="Times New Roman"/>
        </w:rPr>
        <w:t xml:space="preserve"> (osoby długotrwale bezrobotne, o niskich kwalifikacjach, do 25 roku życia, kobiety), instytucje kultury, z wyłączeniem </w:t>
      </w:r>
      <w:proofErr w:type="spellStart"/>
      <w:r w:rsidRPr="00411A9F">
        <w:rPr>
          <w:rFonts w:ascii="Times New Roman" w:hAnsi="Times New Roman" w:cs="Times New Roman"/>
        </w:rPr>
        <w:t>jst</w:t>
      </w:r>
      <w:proofErr w:type="spellEnd"/>
      <w:r w:rsidRPr="00411A9F">
        <w:rPr>
          <w:rFonts w:ascii="Times New Roman" w:hAnsi="Times New Roman" w:cs="Times New Roman"/>
        </w:rPr>
        <w:t>.” Skreśla się „z wyłączeniem” natomiast zdanie przyjmuje nowe brzmienie:</w:t>
      </w:r>
    </w:p>
    <w:p w:rsidR="004D7481" w:rsidRPr="00411A9F" w:rsidRDefault="004D7481" w:rsidP="004D7481">
      <w:pPr>
        <w:ind w:left="709"/>
        <w:rPr>
          <w:rFonts w:ascii="Times New Roman" w:hAnsi="Times New Roman" w:cs="Times New Roman"/>
        </w:rPr>
      </w:pPr>
      <w:r w:rsidRPr="00411A9F">
        <w:rPr>
          <w:rFonts w:ascii="Times New Roman" w:hAnsi="Times New Roman" w:cs="Times New Roman"/>
        </w:rPr>
        <w:t xml:space="preserve">„Projekty grantowe skierowane są do organizacji pozarządowych w tym organizacji nie posiadających osobowości prawnej z możliwością jej użyczenia i grup </w:t>
      </w:r>
      <w:proofErr w:type="spellStart"/>
      <w:r w:rsidRPr="00411A9F">
        <w:rPr>
          <w:rFonts w:ascii="Times New Roman" w:hAnsi="Times New Roman" w:cs="Times New Roman"/>
        </w:rPr>
        <w:t>defaryzowanych</w:t>
      </w:r>
      <w:proofErr w:type="spellEnd"/>
      <w:r w:rsidRPr="00411A9F">
        <w:rPr>
          <w:rFonts w:ascii="Times New Roman" w:hAnsi="Times New Roman" w:cs="Times New Roman"/>
        </w:rPr>
        <w:t xml:space="preserve"> (osoby długotrwale bezrobotne, o niskich kwalifikacjach, do 25 roku życia, kobiety), instytucje kultury, </w:t>
      </w:r>
      <w:proofErr w:type="spellStart"/>
      <w:r w:rsidRPr="00411A9F">
        <w:rPr>
          <w:rFonts w:ascii="Times New Roman" w:hAnsi="Times New Roman" w:cs="Times New Roman"/>
        </w:rPr>
        <w:t>jst</w:t>
      </w:r>
      <w:proofErr w:type="spellEnd"/>
      <w:r w:rsidRPr="00411A9F">
        <w:rPr>
          <w:rFonts w:ascii="Times New Roman" w:hAnsi="Times New Roman" w:cs="Times New Roman"/>
        </w:rPr>
        <w:t>.”</w:t>
      </w:r>
    </w:p>
    <w:p w:rsidR="009055AF" w:rsidRPr="00411A9F" w:rsidRDefault="009055AF" w:rsidP="004D7481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</w:p>
    <w:p w:rsidR="009055AF" w:rsidRPr="00411A9F" w:rsidRDefault="009055AF" w:rsidP="009055AF">
      <w:pPr>
        <w:pStyle w:val="Default"/>
        <w:spacing w:line="276" w:lineRule="auto"/>
        <w:rPr>
          <w:b/>
          <w:bCs/>
          <w:sz w:val="22"/>
          <w:szCs w:val="22"/>
        </w:rPr>
      </w:pPr>
    </w:p>
    <w:p w:rsidR="009055AF" w:rsidRPr="009055AF" w:rsidRDefault="009055AF" w:rsidP="009055AF">
      <w:pPr>
        <w:pStyle w:val="Akapitzlist"/>
        <w:numPr>
          <w:ilvl w:val="0"/>
          <w:numId w:val="5"/>
        </w:numPr>
        <w:spacing w:after="0"/>
        <w:ind w:left="0"/>
        <w:rPr>
          <w:rFonts w:ascii="Times New Roman" w:hAnsi="Times New Roman"/>
          <w:sz w:val="24"/>
          <w:szCs w:val="24"/>
        </w:rPr>
        <w:sectPr w:rsidR="009055AF" w:rsidRPr="009055AF" w:rsidSect="005F3C0D"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606"/>
        <w:tblW w:w="164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2"/>
        <w:gridCol w:w="70"/>
        <w:gridCol w:w="95"/>
        <w:gridCol w:w="1466"/>
        <w:gridCol w:w="143"/>
        <w:gridCol w:w="710"/>
        <w:gridCol w:w="852"/>
        <w:gridCol w:w="142"/>
        <w:gridCol w:w="527"/>
        <w:gridCol w:w="173"/>
        <w:gridCol w:w="436"/>
        <w:gridCol w:w="142"/>
        <w:gridCol w:w="711"/>
        <w:gridCol w:w="69"/>
        <w:gridCol w:w="782"/>
        <w:gridCol w:w="144"/>
        <w:gridCol w:w="992"/>
        <w:gridCol w:w="142"/>
        <w:gridCol w:w="250"/>
        <w:gridCol w:w="173"/>
        <w:gridCol w:w="287"/>
        <w:gridCol w:w="710"/>
        <w:gridCol w:w="141"/>
        <w:gridCol w:w="992"/>
        <w:gridCol w:w="288"/>
        <w:gridCol w:w="390"/>
        <w:gridCol w:w="461"/>
        <w:gridCol w:w="245"/>
        <w:gridCol w:w="173"/>
        <w:gridCol w:w="350"/>
        <w:gridCol w:w="388"/>
        <w:gridCol w:w="615"/>
        <w:gridCol w:w="75"/>
        <w:gridCol w:w="995"/>
        <w:gridCol w:w="173"/>
        <w:gridCol w:w="173"/>
        <w:gridCol w:w="120"/>
      </w:tblGrid>
      <w:tr w:rsidR="000D7EDA" w:rsidRPr="00525CE2" w:rsidTr="00071476">
        <w:trPr>
          <w:gridAfter w:val="1"/>
          <w:wAfter w:w="119" w:type="dxa"/>
          <w:trHeight w:val="388"/>
        </w:trPr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9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pStyle w:val="Nagwek3"/>
              <w:jc w:val="center"/>
              <w:rPr>
                <w:rFonts w:eastAsia="Times New Roman"/>
                <w:lang w:eastAsia="pl-PL"/>
              </w:rPr>
            </w:pPr>
            <w:bookmarkStart w:id="2" w:name="_Toc439071802"/>
            <w:r>
              <w:rPr>
                <w:rFonts w:eastAsia="Times New Roman"/>
                <w:lang w:eastAsia="pl-PL"/>
              </w:rPr>
              <w:t>Załącznik nr 3</w:t>
            </w:r>
            <w:r w:rsidRPr="00525CE2">
              <w:rPr>
                <w:rFonts w:eastAsia="Times New Roman"/>
                <w:lang w:eastAsia="pl-PL"/>
              </w:rPr>
              <w:t xml:space="preserve"> Plan Działania</w:t>
            </w:r>
            <w:bookmarkEnd w:id="2"/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4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D7EDA" w:rsidRPr="00525CE2" w:rsidTr="00071476">
        <w:trPr>
          <w:trHeight w:val="369"/>
        </w:trPr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Lata </w:t>
            </w:r>
          </w:p>
        </w:tc>
        <w:tc>
          <w:tcPr>
            <w:tcW w:w="2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2016-2018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2019-2021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2022-2023</w:t>
            </w:r>
          </w:p>
        </w:tc>
        <w:tc>
          <w:tcPr>
            <w:tcW w:w="2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 2016- 2023</w:t>
            </w:r>
          </w:p>
        </w:tc>
        <w:tc>
          <w:tcPr>
            <w:tcW w:w="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ind w:right="109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Program</w:t>
            </w:r>
          </w:p>
        </w:tc>
        <w:tc>
          <w:tcPr>
            <w:tcW w:w="1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Poddziałanie / zakres Programu</w:t>
            </w:r>
          </w:p>
        </w:tc>
      </w:tr>
      <w:tr w:rsidR="000D7EDA" w:rsidRPr="00525CE2" w:rsidTr="00071476">
        <w:trPr>
          <w:trHeight w:val="1984"/>
        </w:trPr>
        <w:tc>
          <w:tcPr>
            <w:tcW w:w="1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 wskaźnika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Wartość z jednostką miary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Planowane wsparcie w PLN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Wartość z jednostką miary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Planowane wsparcie w PLN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Wartość z jednostką miary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% realizacji wskaźnika narastająco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Planowane wsparcie w PLN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 wartość wskaźników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 planowane wsparcie w PLN</w:t>
            </w:r>
          </w:p>
        </w:tc>
        <w:tc>
          <w:tcPr>
            <w:tcW w:w="6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</w:tr>
      <w:tr w:rsidR="000D7EDA" w:rsidRPr="00525CE2" w:rsidTr="00071476">
        <w:trPr>
          <w:trHeight w:val="450"/>
        </w:trPr>
        <w:tc>
          <w:tcPr>
            <w:tcW w:w="142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Cel Ogólny: I Tworzenie potencjału dla rozwoju lokalnej gospodarki i tworzenia miejsc pracy</w:t>
            </w:r>
          </w:p>
        </w:tc>
        <w:tc>
          <w:tcPr>
            <w:tcW w:w="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511"/>
        </w:trPr>
        <w:tc>
          <w:tcPr>
            <w:tcW w:w="1428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Cel Szczegółowy: Rozwój lokalnej przedsiębiorczości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960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Zakładanie działalności gospodarczych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zarejestrowanych działalności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48%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2 300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94%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1 875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53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4 375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Realizacja LSR </w:t>
            </w:r>
          </w:p>
        </w:tc>
      </w:tr>
      <w:tr w:rsidR="000D7EDA" w:rsidRPr="00525CE2" w:rsidTr="00071476">
        <w:trPr>
          <w:trHeight w:val="671"/>
        </w:trPr>
        <w:tc>
          <w:tcPr>
            <w:tcW w:w="184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Rozwijanie przedsiębiorczość i  dywersyfikacja źródeł dochodu</w:t>
            </w:r>
          </w:p>
        </w:tc>
        <w:tc>
          <w:tcPr>
            <w:tcW w:w="17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nowych miejsc  pracy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1 000 000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80%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600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200 000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1 800 000</w:t>
            </w: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071476">
        <w:trPr>
          <w:trHeight w:val="695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C876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876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 Rozwój lokalnej przedsiębiorczości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3 30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2 475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6 175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945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C876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876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 Tworzenie potencjału dla rozwoju lokalnej gospodarki i tworzenia miejsc pracy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30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0 000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2 475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40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6 175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505"/>
        </w:trPr>
        <w:tc>
          <w:tcPr>
            <w:tcW w:w="126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5A5A5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Cel Ogólny: II Rozwój inicjatyw lokalnych i podniesienie standardu życia mieszkańców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462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Cel szczegółowy: Rozwój infrastruktury na potrzeby turystyki, kultury i rekreacji</w:t>
            </w:r>
          </w:p>
        </w:tc>
      </w:tr>
      <w:tr w:rsidR="000D7EDA" w:rsidRPr="00525CE2" w:rsidTr="00071476">
        <w:trPr>
          <w:trHeight w:val="1196"/>
        </w:trPr>
        <w:tc>
          <w:tcPr>
            <w:tcW w:w="1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Budowa, przebudowa, remont i uatrakcyjnienie  obiektów infrastruktury  lokalnej w tym, małej architektury, ścieżek rekreacyjnych  i operacji ukierunkowanych na innowacje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Liczba nowych i zmodernizowanych obiektów infrastruktury  lokalnej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37%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1 128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91%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1 692 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66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3 12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071476">
        <w:trPr>
          <w:trHeight w:val="689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wyremontowanych i uatrakcyjnionych świetlic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30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30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Realizacja LSR</w:t>
            </w:r>
          </w:p>
        </w:tc>
      </w:tr>
      <w:tr w:rsidR="000D7EDA" w:rsidRPr="00525CE2" w:rsidTr="00071476">
        <w:trPr>
          <w:trHeight w:val="104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zagospodarowanych miejsc przestrzeni publicznej ukierunkowanych na innowacje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564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564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Realizacja LSR</w:t>
            </w:r>
          </w:p>
        </w:tc>
      </w:tr>
      <w:tr w:rsidR="000D7EDA" w:rsidRPr="00525CE2" w:rsidTr="00071476">
        <w:trPr>
          <w:trHeight w:val="1040"/>
        </w:trPr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zagospodarowanych miejsc przestrzeni publicznej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18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300 000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3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00 000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Projekty współpracy</w:t>
            </w:r>
          </w:p>
        </w:tc>
      </w:tr>
      <w:tr w:rsidR="000D7EDA" w:rsidRPr="00525CE2" w:rsidTr="00071476">
        <w:trPr>
          <w:trHeight w:val="891"/>
        </w:trPr>
        <w:tc>
          <w:tcPr>
            <w:tcW w:w="3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Razem Rozwój infrastruktury na potrzeby turystyki, kultury i rekreacji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1 992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1 992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300 000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 4 284 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702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Cel szczegółowy: Ochrona obiektów dziedzictwa lokalnego i środowiska</w:t>
            </w:r>
          </w:p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  <w:p w:rsidR="000D7EDA" w:rsidRPr="00525CE2" w:rsidRDefault="000D7EDA" w:rsidP="000714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1689"/>
        </w:trPr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Renowacja i udostępnienia turystyczne różnego rodzaju obiektów dziedzictwa lokalnego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odrestaurowanych obiektów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563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200 000 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 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1B2EFA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B2EFA">
              <w:rPr>
                <w:rFonts w:ascii="Times New Roman" w:eastAsia="Times New Roman" w:hAnsi="Times New Roman"/>
                <w:color w:val="000000"/>
                <w:lang w:eastAsia="pl-PL"/>
              </w:rPr>
              <w:t> 763 000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071476">
        <w:trPr>
          <w:trHeight w:val="857"/>
        </w:trPr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lastRenderedPageBreak/>
              <w:t>Edukacja ekologiczna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przeszkolonych osób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10 000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90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1B2EFA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B2EFA">
              <w:rPr>
                <w:rFonts w:ascii="Times New Roman" w:eastAsia="Times New Roman" w:hAnsi="Times New Roman"/>
                <w:color w:val="000000"/>
                <w:lang w:eastAsia="pl-PL"/>
              </w:rPr>
              <w:t> 20 000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Aktywizacja</w:t>
            </w:r>
          </w:p>
        </w:tc>
      </w:tr>
      <w:tr w:rsidR="000D7EDA" w:rsidRPr="00525CE2" w:rsidTr="00071476">
        <w:trPr>
          <w:trHeight w:val="677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 Ochrona obiektów dziedzictwa lokalnego i środowiska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573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21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783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463"/>
        </w:trPr>
        <w:tc>
          <w:tcPr>
            <w:tcW w:w="1643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2C6E8C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2C6E8C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Cel szczegółowy: Budowa i promocja kulturalnej i rekreacyjnej oferty Krainy Wielkiego Łuku Warty</w:t>
            </w:r>
            <w:r w:rsidRPr="002C6E8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 </w:t>
            </w:r>
          </w:p>
        </w:tc>
      </w:tr>
      <w:tr w:rsidR="000D7EDA" w:rsidRPr="00525CE2" w:rsidTr="00071476">
        <w:trPr>
          <w:trHeight w:val="729"/>
        </w:trPr>
        <w:tc>
          <w:tcPr>
            <w:tcW w:w="20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Wsparcie i prezentacje zespołów ludowych, orkiestr dętych oraz stowarzyszeń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organizacji które otrzymały wsparcie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282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282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18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2C6E8C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564</w:t>
            </w:r>
            <w:r w:rsidRPr="002C6E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071476">
        <w:trPr>
          <w:trHeight w:val="759"/>
        </w:trPr>
        <w:tc>
          <w:tcPr>
            <w:tcW w:w="200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Imprezy kulturalne, rekreacyjne i sportowe promujące Krainę Wielkiego Łuku Warty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działań komunikacyjnych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43%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216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86%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216 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28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504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Aktywizacja</w:t>
            </w:r>
          </w:p>
        </w:tc>
      </w:tr>
      <w:tr w:rsidR="000D7EDA" w:rsidRPr="00525CE2" w:rsidTr="00071476">
        <w:trPr>
          <w:trHeight w:val="639"/>
        </w:trPr>
        <w:tc>
          <w:tcPr>
            <w:tcW w:w="200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 imprez promocyjno kulturowych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33,3%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282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66,6%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282 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99,9%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300 000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27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2C6E8C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864</w:t>
            </w:r>
            <w:r w:rsidRPr="002C6E8C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000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PROW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Realizacja LSR</w:t>
            </w:r>
          </w:p>
        </w:tc>
      </w:tr>
      <w:tr w:rsidR="000D7EDA" w:rsidRPr="00525CE2" w:rsidTr="00071476">
        <w:trPr>
          <w:trHeight w:val="788"/>
        </w:trPr>
        <w:tc>
          <w:tcPr>
            <w:tcW w:w="2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Liczba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działań informacyjno promocyjnych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 projektów współpracy 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100%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317 500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317 5</w:t>
            </w: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Projekty</w:t>
            </w:r>
          </w:p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współpracy</w:t>
            </w:r>
          </w:p>
        </w:tc>
      </w:tr>
      <w:tr w:rsidR="000D7EDA" w:rsidRPr="00525CE2" w:rsidTr="00071476">
        <w:trPr>
          <w:trHeight w:val="334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RAZEM: Budowa i promocja kulturalnej i rekreacyjnej oferty Krainy Wielkiego Łuku Warty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1 097 5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780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372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2 249 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783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RAZEM" Rozwój inicjatyw lokalnych i podniesienie standardu życia mieszkańców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3 662 5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2 982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672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7 316 5</w:t>
            </w:r>
            <w:r w:rsidRPr="00525CE2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525CE2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  <w:tr w:rsidR="000D7EDA" w:rsidRPr="00525CE2" w:rsidTr="00071476">
        <w:trPr>
          <w:trHeight w:val="783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C6482F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6 962 5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5 457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1 072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000 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13491 5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</w:tr>
      <w:tr w:rsidR="000D7EDA" w:rsidRPr="00525CE2" w:rsidTr="00071476">
        <w:trPr>
          <w:trHeight w:val="783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Liczba działań wskazanych w planie komunikacji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2D6185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263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48%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028D">
              <w:rPr>
                <w:rFonts w:ascii="Times New Roman" w:eastAsia="Times New Roman" w:hAnsi="Times New Roman"/>
                <w:color w:val="000000"/>
                <w:lang w:eastAsia="pl-PL"/>
              </w:rPr>
              <w:t>75 200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2D6185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227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E6028D" w:rsidRDefault="002D6185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90</w:t>
            </w:r>
            <w:r w:rsidR="000D7EDA">
              <w:rPr>
                <w:rFonts w:ascii="Times New Roman" w:eastAsia="Times New Roman" w:hAnsi="Times New Roman"/>
                <w:color w:val="000000"/>
                <w:lang w:eastAsia="pl-PL"/>
              </w:rPr>
              <w:t>%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028D">
              <w:rPr>
                <w:rFonts w:ascii="Times New Roman" w:eastAsia="Times New Roman" w:hAnsi="Times New Roman"/>
                <w:color w:val="000000"/>
                <w:lang w:eastAsia="pl-PL"/>
              </w:rPr>
              <w:t>82400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62157B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  <w:r w:rsidR="002D6185">
              <w:rPr>
                <w:rFonts w:ascii="Times New Roman" w:eastAsia="Times New Roman" w:hAnsi="Times New Roman"/>
                <w:color w:val="000000"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%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6028D">
              <w:rPr>
                <w:rFonts w:ascii="Times New Roman" w:eastAsia="Times New Roman" w:hAnsi="Times New Roman"/>
                <w:color w:val="000000"/>
                <w:lang w:eastAsia="pl-PL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2D6185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54</w:t>
            </w:r>
            <w:r w:rsidR="000D7EDA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160 600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Aktywizacja </w:t>
            </w:r>
          </w:p>
        </w:tc>
      </w:tr>
      <w:tr w:rsidR="000D7EDA" w:rsidRPr="00525CE2" w:rsidTr="00071476">
        <w:trPr>
          <w:trHeight w:val="783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EDA" w:rsidRPr="00525CE2" w:rsidRDefault="000D7EDA" w:rsidP="000714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</w:rPr>
              <w:t>Funkcjonowanie biura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793 300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793300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246 3</w:t>
            </w:r>
            <w:r w:rsidRPr="00E6028D">
              <w:rPr>
                <w:rFonts w:ascii="Times New Roman" w:eastAsia="Times New Roman" w:hAnsi="Times New Roman"/>
                <w:color w:val="000000"/>
                <w:lang w:eastAsia="pl-PL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E6028D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1 832 900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525CE2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Koszty bieżące</w:t>
            </w:r>
          </w:p>
        </w:tc>
      </w:tr>
      <w:tr w:rsidR="000D7EDA" w:rsidRPr="00C6482F" w:rsidTr="00071476">
        <w:trPr>
          <w:trHeight w:val="462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7 831 0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6 332 7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321 3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15 485 0</w:t>
            </w: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 </w:t>
            </w:r>
          </w:p>
        </w:tc>
        <w:tc>
          <w:tcPr>
            <w:tcW w:w="1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EDA" w:rsidRPr="00C6482F" w:rsidRDefault="000D7EDA" w:rsidP="00071476">
            <w:pPr>
              <w:spacing w:after="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C6482F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</w:p>
        </w:tc>
      </w:tr>
    </w:tbl>
    <w:p w:rsidR="000D7EDA" w:rsidRDefault="000D7EDA" w:rsidP="000D7EDA"/>
    <w:p w:rsidR="00D1494B" w:rsidRPr="00D1494B" w:rsidRDefault="00D1494B" w:rsidP="004506EA">
      <w:pPr>
        <w:spacing w:after="0"/>
        <w:jc w:val="both"/>
        <w:rPr>
          <w:rFonts w:ascii="Times New Roman" w:hAnsi="Times New Roman" w:cs="Times New Roman"/>
        </w:rPr>
      </w:pPr>
    </w:p>
    <w:sectPr w:rsidR="00D1494B" w:rsidRPr="00D1494B" w:rsidSect="005726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5FAD"/>
    <w:multiLevelType w:val="multilevel"/>
    <w:tmpl w:val="8F4E40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1">
    <w:nsid w:val="26CF1A69"/>
    <w:multiLevelType w:val="multilevel"/>
    <w:tmpl w:val="78861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0" w:firstLine="20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360E6DBB"/>
    <w:multiLevelType w:val="multilevel"/>
    <w:tmpl w:val="417A5D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3">
    <w:nsid w:val="3FF260A4"/>
    <w:multiLevelType w:val="multilevel"/>
    <w:tmpl w:val="417A5D3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6" w:hanging="1800"/>
      </w:pPr>
      <w:rPr>
        <w:rFonts w:hint="default"/>
      </w:rPr>
    </w:lvl>
  </w:abstractNum>
  <w:abstractNum w:abstractNumId="4">
    <w:nsid w:val="40C4595D"/>
    <w:multiLevelType w:val="hybridMultilevel"/>
    <w:tmpl w:val="CD9A2FA4"/>
    <w:lvl w:ilvl="0" w:tplc="AC5AA5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D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4FA54C6"/>
    <w:multiLevelType w:val="hybridMultilevel"/>
    <w:tmpl w:val="06CABC70"/>
    <w:lvl w:ilvl="0" w:tplc="5538C5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8E3"/>
    <w:rsid w:val="00084C97"/>
    <w:rsid w:val="000D7EDA"/>
    <w:rsid w:val="001659BB"/>
    <w:rsid w:val="001D3E4D"/>
    <w:rsid w:val="00217EE0"/>
    <w:rsid w:val="00233E13"/>
    <w:rsid w:val="002A2A4E"/>
    <w:rsid w:val="002D6185"/>
    <w:rsid w:val="002E4CA9"/>
    <w:rsid w:val="002E7AFE"/>
    <w:rsid w:val="002F30B4"/>
    <w:rsid w:val="002F63F4"/>
    <w:rsid w:val="0032047E"/>
    <w:rsid w:val="003264F8"/>
    <w:rsid w:val="0039725E"/>
    <w:rsid w:val="003C5711"/>
    <w:rsid w:val="00411A9F"/>
    <w:rsid w:val="0041226E"/>
    <w:rsid w:val="00415807"/>
    <w:rsid w:val="004506EA"/>
    <w:rsid w:val="004D7481"/>
    <w:rsid w:val="005038B9"/>
    <w:rsid w:val="00507933"/>
    <w:rsid w:val="0052539D"/>
    <w:rsid w:val="00545674"/>
    <w:rsid w:val="005F3C0D"/>
    <w:rsid w:val="0062157B"/>
    <w:rsid w:val="006262C8"/>
    <w:rsid w:val="006E4DBD"/>
    <w:rsid w:val="0076370A"/>
    <w:rsid w:val="00780F04"/>
    <w:rsid w:val="00793BBD"/>
    <w:rsid w:val="00796DEA"/>
    <w:rsid w:val="008174DF"/>
    <w:rsid w:val="008A74C8"/>
    <w:rsid w:val="008C6717"/>
    <w:rsid w:val="00904D0D"/>
    <w:rsid w:val="009055AF"/>
    <w:rsid w:val="00A4363F"/>
    <w:rsid w:val="00AD1748"/>
    <w:rsid w:val="00B41CFF"/>
    <w:rsid w:val="00B43D55"/>
    <w:rsid w:val="00BD6AA4"/>
    <w:rsid w:val="00C87928"/>
    <w:rsid w:val="00CB1D83"/>
    <w:rsid w:val="00CC63CA"/>
    <w:rsid w:val="00CE24AF"/>
    <w:rsid w:val="00D1494B"/>
    <w:rsid w:val="00D306DA"/>
    <w:rsid w:val="00DC4501"/>
    <w:rsid w:val="00E42AE2"/>
    <w:rsid w:val="00E96F4E"/>
    <w:rsid w:val="00F248E3"/>
    <w:rsid w:val="00F35E96"/>
    <w:rsid w:val="00FD62CD"/>
    <w:rsid w:val="00FE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E3"/>
  </w:style>
  <w:style w:type="paragraph" w:styleId="Nagwek1">
    <w:name w:val="heading 1"/>
    <w:basedOn w:val="Normalny"/>
    <w:next w:val="Normalny"/>
    <w:link w:val="Nagwek1Znak"/>
    <w:uiPriority w:val="9"/>
    <w:qFormat/>
    <w:rsid w:val="00E42A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63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48E3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4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248E3"/>
    <w:rPr>
      <w:rFonts w:ascii="Times New Roman" w:eastAsiaTheme="majorEastAsia" w:hAnsi="Times New Roman" w:cstheme="majorBidi"/>
      <w:b/>
      <w:bCs/>
    </w:rPr>
  </w:style>
  <w:style w:type="table" w:styleId="Tabela-Siatka">
    <w:name w:val="Table Grid"/>
    <w:basedOn w:val="Standardowy"/>
    <w:uiPriority w:val="59"/>
    <w:rsid w:val="00F24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725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A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63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912A-1C38-42B1-A122-29C001B1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Monika Walczak</cp:lastModifiedBy>
  <cp:revision>2</cp:revision>
  <cp:lastPrinted>2016-07-15T04:54:00Z</cp:lastPrinted>
  <dcterms:created xsi:type="dcterms:W3CDTF">2016-09-02T09:45:00Z</dcterms:created>
  <dcterms:modified xsi:type="dcterms:W3CDTF">2016-09-02T09:45:00Z</dcterms:modified>
</cp:coreProperties>
</file>